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2B5" w:rsidRPr="00E002B5" w:rsidRDefault="00E002B5" w:rsidP="0052342A">
      <w:pPr>
        <w:tabs>
          <w:tab w:val="left" w:pos="1230"/>
          <w:tab w:val="left" w:pos="4942"/>
        </w:tabs>
        <w:spacing w:after="0"/>
        <w:ind w:firstLine="851"/>
        <w:jc w:val="both"/>
        <w:rPr>
          <w:rFonts w:ascii="Times New Roman" w:eastAsia="Calibri" w:hAnsi="Times New Roman" w:cs="Times New Roman"/>
          <w:b/>
          <w:sz w:val="28"/>
          <w:szCs w:val="28"/>
        </w:rPr>
      </w:pPr>
      <w:bookmarkStart w:id="0" w:name="_GoBack"/>
      <w:bookmarkEnd w:id="0"/>
      <w:r w:rsidRPr="00E002B5">
        <w:rPr>
          <w:rFonts w:ascii="Times New Roman" w:eastAsia="Calibri" w:hAnsi="Times New Roman" w:cs="Times New Roman"/>
          <w:b/>
          <w:sz w:val="28"/>
          <w:szCs w:val="28"/>
        </w:rPr>
        <w:t>В сфере защиты прав инвалидов (парковка).</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В ходе надзорной деятельности выявляются нарушения и возбуждаются дела об административных правонарушениях по фактам нарушения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(ст. 5.43 Кодекса Российской Федерации об административных правонарушениях) и организация транспортного обслуживания населения без создания условий доступности для инвалидов (ст. 11.24 </w:t>
      </w:r>
      <w:r w:rsidRPr="00E002B5">
        <w:rPr>
          <w:rFonts w:ascii="Times New Roman" w:eastAsia="Times New Roman" w:hAnsi="Times New Roman" w:cs="Times New Roman"/>
          <w:sz w:val="28"/>
          <w:szCs w:val="28"/>
          <w:lang w:eastAsia="ru-RU"/>
        </w:rPr>
        <w:t>Кодекс Российской Федерации об административных правонарушениях</w:t>
      </w:r>
      <w:r w:rsidRPr="00E002B5">
        <w:rPr>
          <w:rFonts w:ascii="Times New Roman" w:eastAsia="Calibri" w:hAnsi="Times New Roman" w:cs="Times New Roman"/>
          <w:sz w:val="28"/>
          <w:szCs w:val="28"/>
        </w:rPr>
        <w:t>).</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В соответствии со статьёй 2 Федерального закона Российской Федерации от 24 ноября 1995 N 181-ФЗ "О социальной защите инвалидов в Российской Федерации" (далее Закона о социальной защите инвалидов) 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Times New Roman" w:hAnsi="Times New Roman" w:cs="Times New Roman"/>
          <w:color w:val="22272F"/>
          <w:sz w:val="28"/>
          <w:szCs w:val="28"/>
          <w:shd w:val="clear" w:color="auto" w:fill="FFFFFF"/>
          <w:lang w:eastAsia="ru-RU"/>
        </w:rPr>
        <w:t xml:space="preserve">В соответствии </w:t>
      </w:r>
      <w:r w:rsidRPr="00E002B5">
        <w:rPr>
          <w:rFonts w:ascii="Times New Roman" w:eastAsia="Times New Roman" w:hAnsi="Times New Roman" w:cs="Times New Roman"/>
          <w:sz w:val="28"/>
          <w:szCs w:val="28"/>
          <w:shd w:val="clear" w:color="auto" w:fill="FFFFFF"/>
          <w:lang w:eastAsia="ru-RU"/>
        </w:rPr>
        <w:t>с </w:t>
      </w:r>
      <w:hyperlink r:id="rId8" w:anchor="/document/10164504/entry/15" w:history="1">
        <w:r w:rsidRPr="0052342A">
          <w:rPr>
            <w:rFonts w:ascii="Times New Roman" w:eastAsia="Times New Roman" w:hAnsi="Times New Roman" w:cs="Times New Roman"/>
            <w:sz w:val="28"/>
            <w:szCs w:val="28"/>
            <w:shd w:val="clear" w:color="auto" w:fill="FFFFFF"/>
            <w:lang w:eastAsia="ru-RU"/>
          </w:rPr>
          <w:t>частью 9 статьи 15</w:t>
        </w:r>
      </w:hyperlink>
      <w:r w:rsidRPr="00E002B5">
        <w:rPr>
          <w:rFonts w:ascii="Times New Roman" w:eastAsia="Times New Roman" w:hAnsi="Times New Roman" w:cs="Times New Roman"/>
          <w:color w:val="22272F"/>
          <w:sz w:val="28"/>
          <w:szCs w:val="28"/>
          <w:shd w:val="clear" w:color="auto" w:fill="FFFFFF"/>
          <w:lang w:eastAsia="ru-RU"/>
        </w:rPr>
        <w:t> Закона о социальной защите инвалидов 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Статьёй 5.43 Кодекса об административных правонарушениях Российский Федерации (КоАП РФ) предусмотрена административная ответственность за нарушение требований законодательства, предусматривающего выделение на автомобильных стоянках (остановках) мест для специальных автотранспортных средств инвалидов. </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Times New Roman" w:hAnsi="Times New Roman" w:cs="Times New Roman"/>
          <w:color w:val="22272F"/>
          <w:sz w:val="28"/>
          <w:szCs w:val="28"/>
          <w:shd w:val="clear" w:color="auto" w:fill="FFFFFF"/>
          <w:lang w:eastAsia="ru-RU"/>
        </w:rPr>
        <w:t>К административной ответственности виновные лица могут быть привлечены за совершение следующих правонарушений: 1) невыполнение обязанности по выделению мест для специальных автотранспортных средств инвалидов, в порядке, установленном законодательством; 2) использование этих мест не по назначению, т.е. для других автотранспортных средств; 3) предоставление инвалидам мест для их специальных автотранспортных средств за плату.</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lastRenderedPageBreak/>
        <w:t>Таким образом, фактическое выделение таких парковочных мест на стоянке, а также их обозначение в соответствии с действующим законодательством является необходимым требованием для соблюдения прав маломобильных граждан в указанной сфере.</w:t>
      </w:r>
    </w:p>
    <w:p w:rsidR="00E002B5" w:rsidRPr="0052342A" w:rsidRDefault="00E002B5" w:rsidP="0052342A">
      <w:pPr>
        <w:spacing w:after="0"/>
        <w:rPr>
          <w:rFonts w:ascii="Times New Roman" w:hAnsi="Times New Roman" w:cs="Times New Roman"/>
          <w:sz w:val="28"/>
          <w:szCs w:val="28"/>
        </w:rPr>
      </w:pPr>
    </w:p>
    <w:p w:rsidR="00E002B5" w:rsidRPr="00E002B5" w:rsidRDefault="00E002B5" w:rsidP="0052342A">
      <w:pPr>
        <w:tabs>
          <w:tab w:val="left" w:pos="4942"/>
        </w:tabs>
        <w:spacing w:after="0"/>
        <w:ind w:firstLine="851"/>
        <w:jc w:val="both"/>
        <w:rPr>
          <w:rFonts w:ascii="Times New Roman" w:eastAsia="Calibri" w:hAnsi="Times New Roman" w:cs="Times New Roman"/>
          <w:sz w:val="28"/>
          <w:szCs w:val="28"/>
        </w:rPr>
      </w:pPr>
    </w:p>
    <w:p w:rsidR="0052342A" w:rsidRDefault="0052342A" w:rsidP="0052342A">
      <w:pPr>
        <w:tabs>
          <w:tab w:val="left" w:pos="4942"/>
        </w:tabs>
        <w:spacing w:after="0"/>
        <w:ind w:firstLine="851"/>
        <w:jc w:val="both"/>
        <w:rPr>
          <w:rFonts w:ascii="Times New Roman" w:eastAsia="Calibri" w:hAnsi="Times New Roman" w:cs="Times New Roman"/>
          <w:b/>
          <w:sz w:val="28"/>
          <w:szCs w:val="28"/>
        </w:rPr>
      </w:pPr>
    </w:p>
    <w:p w:rsidR="0052342A" w:rsidRDefault="0052342A" w:rsidP="0052342A">
      <w:pPr>
        <w:tabs>
          <w:tab w:val="left" w:pos="4942"/>
        </w:tabs>
        <w:spacing w:after="0"/>
        <w:ind w:firstLine="851"/>
        <w:jc w:val="both"/>
        <w:rPr>
          <w:rFonts w:ascii="Times New Roman" w:eastAsia="Calibri" w:hAnsi="Times New Roman" w:cs="Times New Roman"/>
          <w:b/>
          <w:sz w:val="28"/>
          <w:szCs w:val="28"/>
        </w:rPr>
      </w:pPr>
    </w:p>
    <w:p w:rsidR="00E002B5" w:rsidRPr="00E002B5" w:rsidRDefault="00E002B5" w:rsidP="0052342A">
      <w:pPr>
        <w:tabs>
          <w:tab w:val="left" w:pos="4942"/>
        </w:tabs>
        <w:spacing w:after="0"/>
        <w:ind w:firstLine="851"/>
        <w:jc w:val="both"/>
        <w:rPr>
          <w:rFonts w:ascii="Times New Roman" w:eastAsia="Calibri" w:hAnsi="Times New Roman" w:cs="Times New Roman"/>
          <w:b/>
          <w:sz w:val="28"/>
          <w:szCs w:val="28"/>
        </w:rPr>
      </w:pPr>
      <w:r w:rsidRPr="00E002B5">
        <w:rPr>
          <w:rFonts w:ascii="Times New Roman" w:eastAsia="Calibri" w:hAnsi="Times New Roman" w:cs="Times New Roman"/>
          <w:b/>
          <w:sz w:val="28"/>
          <w:szCs w:val="28"/>
        </w:rPr>
        <w:t>В сфере защиты прав инвалидов (информация).</w:t>
      </w:r>
    </w:p>
    <w:p w:rsidR="00E002B5" w:rsidRPr="00E002B5" w:rsidRDefault="00E002B5" w:rsidP="0052342A">
      <w:pPr>
        <w:tabs>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В соответствии со ст. ст. 14, 15 Федерального закона от 24.11.1995     N 181-ФЗ «О социальной защите инвалидов в Российской Федерации» государство гарантирует инвалиду право на получение необходимой информации. 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организаций независимо от их организационно-правовых форм обеспечивают инвалидам условия для беспрепятственного пользования средствами связи и информации, дублирование необходимой для инвалидов звуковой и зрительной информации. </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Например, в соответствии с ч. 6 ст. 10 Федерального закона от 09.02.2009 N 8-ФЗ  "Об обеспечении доступа к информации о деятельности государственных органов и органов местного самоуправления" государственные органы, а также органы местного самоуправления создают официальные сайты посредством использования сети «Интернет», во-первых, для размещения информации о своей деятельности, а, во-вторых, для указания адресов электронной почты. В случае, если пользователем информации на адрес официальной электронной почты направляется запрос, то путем использование сети «Интернет», им должна быть получена запрашиваемая информация. </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Таким образом, с целью обеспечения права на доступ к информации неограниченного круга лиц, в том числе,  граждан с ограниченным зрением официальные сайты органов государственной власти и органов местного самоуправления должны быть приспособлены для предоставления информации</w:t>
      </w:r>
    </w:p>
    <w:p w:rsidR="00E002B5" w:rsidRPr="00E002B5" w:rsidRDefault="00E002B5" w:rsidP="0052342A">
      <w:pPr>
        <w:spacing w:after="0"/>
        <w:rPr>
          <w:rFonts w:ascii="Times New Roman" w:eastAsia="Times New Roman" w:hAnsi="Times New Roman" w:cs="Times New Roman"/>
          <w:sz w:val="28"/>
          <w:szCs w:val="28"/>
          <w:lang w:eastAsia="ru-RU"/>
        </w:rPr>
      </w:pPr>
    </w:p>
    <w:p w:rsidR="0052342A" w:rsidRDefault="0052342A" w:rsidP="0052342A">
      <w:pPr>
        <w:spacing w:after="0"/>
        <w:ind w:firstLine="851"/>
        <w:jc w:val="both"/>
        <w:rPr>
          <w:rFonts w:ascii="Times New Roman" w:eastAsia="Calibri" w:hAnsi="Times New Roman" w:cs="Times New Roman"/>
          <w:b/>
          <w:sz w:val="28"/>
          <w:szCs w:val="28"/>
        </w:rPr>
      </w:pPr>
    </w:p>
    <w:p w:rsidR="0052342A" w:rsidRDefault="0052342A" w:rsidP="0052342A">
      <w:pPr>
        <w:spacing w:after="0"/>
        <w:ind w:firstLine="851"/>
        <w:jc w:val="both"/>
        <w:rPr>
          <w:rFonts w:ascii="Times New Roman" w:eastAsia="Calibri" w:hAnsi="Times New Roman" w:cs="Times New Roman"/>
          <w:b/>
          <w:sz w:val="28"/>
          <w:szCs w:val="28"/>
        </w:rPr>
      </w:pPr>
    </w:p>
    <w:p w:rsidR="0052342A" w:rsidRDefault="0052342A" w:rsidP="0052342A">
      <w:pPr>
        <w:spacing w:after="0"/>
        <w:ind w:firstLine="851"/>
        <w:jc w:val="both"/>
        <w:rPr>
          <w:rFonts w:ascii="Times New Roman" w:eastAsia="Calibri" w:hAnsi="Times New Roman" w:cs="Times New Roman"/>
          <w:b/>
          <w:sz w:val="28"/>
          <w:szCs w:val="28"/>
        </w:rPr>
      </w:pPr>
    </w:p>
    <w:p w:rsidR="0052342A" w:rsidRDefault="0052342A" w:rsidP="0052342A">
      <w:pPr>
        <w:spacing w:after="0"/>
        <w:ind w:firstLine="851"/>
        <w:jc w:val="both"/>
        <w:rPr>
          <w:rFonts w:ascii="Times New Roman" w:eastAsia="Calibri" w:hAnsi="Times New Roman" w:cs="Times New Roman"/>
          <w:b/>
          <w:sz w:val="28"/>
          <w:szCs w:val="28"/>
        </w:rPr>
      </w:pPr>
    </w:p>
    <w:p w:rsidR="00E002B5" w:rsidRPr="00E002B5" w:rsidRDefault="00E002B5" w:rsidP="0052342A">
      <w:pPr>
        <w:spacing w:after="0"/>
        <w:ind w:firstLine="851"/>
        <w:jc w:val="both"/>
        <w:rPr>
          <w:rFonts w:ascii="Times New Roman" w:eastAsia="Calibri" w:hAnsi="Times New Roman" w:cs="Times New Roman"/>
          <w:b/>
          <w:sz w:val="28"/>
          <w:szCs w:val="28"/>
        </w:rPr>
      </w:pPr>
      <w:r w:rsidRPr="00E002B5">
        <w:rPr>
          <w:rFonts w:ascii="Times New Roman" w:eastAsia="Calibri" w:hAnsi="Times New Roman" w:cs="Times New Roman"/>
          <w:b/>
          <w:sz w:val="28"/>
          <w:szCs w:val="28"/>
        </w:rPr>
        <w:lastRenderedPageBreak/>
        <w:t>В сфере охраны здоровья граждан.</w:t>
      </w:r>
    </w:p>
    <w:p w:rsidR="00E002B5" w:rsidRPr="00E002B5" w:rsidRDefault="00E002B5" w:rsidP="0052342A">
      <w:pPr>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w:t>
      </w:r>
    </w:p>
    <w:p w:rsidR="00E002B5" w:rsidRPr="00E002B5" w:rsidRDefault="00E002B5" w:rsidP="0052342A">
      <w:pPr>
        <w:tabs>
          <w:tab w:val="left" w:pos="4942"/>
        </w:tabs>
        <w:spacing w:after="0"/>
        <w:ind w:firstLine="851"/>
        <w:jc w:val="both"/>
        <w:rPr>
          <w:rFonts w:ascii="Times New Roman" w:eastAsia="Times New Roman" w:hAnsi="Times New Roman" w:cs="Times New Roman"/>
          <w:sz w:val="28"/>
          <w:szCs w:val="28"/>
          <w:lang w:eastAsia="ru-RU"/>
        </w:rPr>
      </w:pPr>
      <w:r w:rsidRPr="00E002B5">
        <w:rPr>
          <w:rFonts w:ascii="Times New Roman" w:eastAsia="Times New Roman" w:hAnsi="Times New Roman" w:cs="Times New Roman"/>
          <w:sz w:val="28"/>
          <w:szCs w:val="28"/>
          <w:lang w:eastAsia="ru-RU"/>
        </w:rPr>
        <w:t>В соответствии с частью 1 статьи 41 Конституции Российской Федерации каждый имеет право на охрану здоровья и медицинскую помощь, которая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и других поступлений.</w:t>
      </w:r>
    </w:p>
    <w:p w:rsidR="00E002B5" w:rsidRPr="00E002B5" w:rsidRDefault="00E002B5" w:rsidP="0052342A">
      <w:pPr>
        <w:tabs>
          <w:tab w:val="left" w:pos="4942"/>
        </w:tabs>
        <w:spacing w:after="0"/>
        <w:ind w:firstLine="851"/>
        <w:jc w:val="both"/>
        <w:rPr>
          <w:rFonts w:ascii="Times New Roman" w:eastAsia="Times New Roman" w:hAnsi="Times New Roman" w:cs="Times New Roman"/>
          <w:sz w:val="28"/>
          <w:szCs w:val="28"/>
          <w:lang w:eastAsia="ru-RU"/>
        </w:rPr>
      </w:pPr>
      <w:r w:rsidRPr="00E002B5">
        <w:rPr>
          <w:rFonts w:ascii="Times New Roman" w:eastAsia="Times New Roman" w:hAnsi="Times New Roman" w:cs="Times New Roman"/>
          <w:sz w:val="28"/>
          <w:szCs w:val="28"/>
          <w:lang w:eastAsia="ru-RU"/>
        </w:rPr>
        <w:t xml:space="preserve">Кроме того, в соответствии с частью 3 статьи 2 Федерального закона от 21.11.2011 </w:t>
      </w:r>
      <w:r w:rsidRPr="00E002B5">
        <w:rPr>
          <w:rFonts w:ascii="Times New Roman" w:eastAsia="Times New Roman" w:hAnsi="Times New Roman" w:cs="Times New Roman"/>
          <w:sz w:val="28"/>
          <w:szCs w:val="28"/>
          <w:lang w:val="en-US" w:eastAsia="ru-RU"/>
        </w:rPr>
        <w:t>N</w:t>
      </w:r>
      <w:r w:rsidRPr="00E002B5">
        <w:rPr>
          <w:rFonts w:ascii="Times New Roman" w:eastAsia="Times New Roman" w:hAnsi="Times New Roman" w:cs="Times New Roman"/>
          <w:sz w:val="28"/>
          <w:szCs w:val="28"/>
          <w:lang w:eastAsia="ru-RU"/>
        </w:rPr>
        <w:t>323-ФЗ  «Об основах охраны здоровья граждан в Российской Федерации» медицинская помощь – это комплекс мероприятий, который направлен на поддержание, восстановление здоровья и включает в себя предоставление медицинских услуг.</w:t>
      </w:r>
    </w:p>
    <w:p w:rsidR="00E002B5" w:rsidRPr="00E002B5" w:rsidRDefault="00E002B5" w:rsidP="0052342A">
      <w:pPr>
        <w:spacing w:after="0"/>
        <w:ind w:firstLine="708"/>
        <w:jc w:val="both"/>
        <w:rPr>
          <w:rFonts w:ascii="Times New Roman" w:eastAsia="Times New Roman" w:hAnsi="Times New Roman" w:cs="Times New Roman"/>
          <w:sz w:val="28"/>
          <w:szCs w:val="28"/>
          <w:lang w:eastAsia="ru-RU"/>
        </w:rPr>
      </w:pPr>
      <w:r w:rsidRPr="00E002B5">
        <w:rPr>
          <w:rFonts w:ascii="Times New Roman" w:eastAsia="Times New Roman" w:hAnsi="Times New Roman" w:cs="Times New Roman"/>
          <w:sz w:val="28"/>
          <w:szCs w:val="28"/>
          <w:lang w:eastAsia="ru-RU"/>
        </w:rPr>
        <w:t>На основании Федерального закона «О социальной защите инвалидов в Российской Федерации» квалифицированная медицинская помощь инвалидам осуществляется бесплатно и на льготных условиях, в том числе включая лекарственное обеспечение</w:t>
      </w:r>
    </w:p>
    <w:p w:rsidR="00E002B5" w:rsidRPr="00E002B5" w:rsidRDefault="00E002B5" w:rsidP="0052342A">
      <w:pPr>
        <w:tabs>
          <w:tab w:val="left" w:pos="4942"/>
        </w:tabs>
        <w:spacing w:after="0"/>
        <w:ind w:firstLine="851"/>
        <w:jc w:val="both"/>
        <w:rPr>
          <w:rFonts w:ascii="Times New Roman" w:eastAsia="Times New Roman" w:hAnsi="Times New Roman" w:cs="Times New Roman"/>
          <w:sz w:val="28"/>
          <w:szCs w:val="28"/>
          <w:lang w:eastAsia="ru-RU"/>
        </w:rPr>
      </w:pPr>
      <w:r w:rsidRPr="00E002B5">
        <w:rPr>
          <w:rFonts w:ascii="Times New Roman" w:eastAsia="Times New Roman" w:hAnsi="Times New Roman" w:cs="Times New Roman"/>
          <w:sz w:val="28"/>
          <w:szCs w:val="28"/>
          <w:lang w:eastAsia="ru-RU"/>
        </w:rPr>
        <w:t xml:space="preserve">С целью обеспечения реализации конституционных прав граждан государством созданы правовые, социальные, экономические и иные условия, которые призваны обеспечивать полноценную и достойную жизнь человека. </w:t>
      </w:r>
    </w:p>
    <w:p w:rsidR="00E002B5" w:rsidRPr="00E002B5" w:rsidRDefault="00E002B5" w:rsidP="0052342A">
      <w:pPr>
        <w:tabs>
          <w:tab w:val="left" w:pos="4942"/>
        </w:tabs>
        <w:spacing w:after="0"/>
        <w:ind w:firstLine="851"/>
        <w:jc w:val="both"/>
        <w:rPr>
          <w:rFonts w:ascii="Times New Roman" w:eastAsia="Times New Roman" w:hAnsi="Times New Roman" w:cs="Times New Roman"/>
          <w:sz w:val="28"/>
          <w:szCs w:val="28"/>
          <w:lang w:eastAsia="ru-RU"/>
        </w:rPr>
      </w:pPr>
      <w:r w:rsidRPr="00E002B5">
        <w:rPr>
          <w:rFonts w:ascii="Times New Roman" w:eastAsia="Times New Roman" w:hAnsi="Times New Roman" w:cs="Times New Roman"/>
          <w:sz w:val="28"/>
          <w:szCs w:val="28"/>
          <w:lang w:eastAsia="ru-RU"/>
        </w:rPr>
        <w:t>Предметом прокурорского надзора в указанной сфере является соблюдение установленных Конституцией Российской Федерации и законами прав граждан на медицинскую помощь субъектами, которые выступают ответственными за ее оказание.</w:t>
      </w:r>
    </w:p>
    <w:p w:rsidR="00E002B5" w:rsidRPr="00E002B5" w:rsidRDefault="00E002B5" w:rsidP="0052342A">
      <w:pPr>
        <w:tabs>
          <w:tab w:val="left" w:pos="4942"/>
        </w:tabs>
        <w:spacing w:after="0"/>
        <w:ind w:firstLine="851"/>
        <w:jc w:val="both"/>
        <w:rPr>
          <w:rFonts w:ascii="Times New Roman" w:eastAsia="Times New Roman" w:hAnsi="Times New Roman" w:cs="Times New Roman"/>
          <w:sz w:val="28"/>
          <w:szCs w:val="28"/>
          <w:lang w:eastAsia="ru-RU"/>
        </w:rPr>
      </w:pPr>
      <w:r w:rsidRPr="00E002B5">
        <w:rPr>
          <w:rFonts w:ascii="Times New Roman" w:eastAsia="Times New Roman" w:hAnsi="Times New Roman" w:cs="Times New Roman"/>
          <w:sz w:val="28"/>
          <w:szCs w:val="28"/>
          <w:lang w:eastAsia="ru-RU"/>
        </w:rPr>
        <w:t xml:space="preserve">Вместе с тем, на постоянной основе осуществляется контроль по вопросу обеспеченности граждан лекарственными препаратами при оказании медицинской помощи в отделениях стационара, проверяются факты приобретения гражданами необходимых им лекарственных средств и медицинских изделий. </w:t>
      </w:r>
    </w:p>
    <w:p w:rsidR="00E002B5" w:rsidRPr="00E002B5" w:rsidRDefault="00E002B5" w:rsidP="0052342A">
      <w:pPr>
        <w:tabs>
          <w:tab w:val="left" w:pos="4942"/>
        </w:tabs>
        <w:spacing w:after="0"/>
        <w:ind w:firstLine="708"/>
        <w:jc w:val="both"/>
        <w:rPr>
          <w:rFonts w:ascii="Times New Roman" w:eastAsia="Times New Roman" w:hAnsi="Times New Roman" w:cs="Times New Roman"/>
          <w:sz w:val="28"/>
          <w:szCs w:val="28"/>
          <w:lang w:eastAsia="ru-RU"/>
        </w:rPr>
      </w:pPr>
      <w:r w:rsidRPr="00E002B5">
        <w:rPr>
          <w:rFonts w:ascii="Times New Roman" w:eastAsia="Times New Roman" w:hAnsi="Times New Roman" w:cs="Times New Roman"/>
          <w:sz w:val="28"/>
          <w:szCs w:val="28"/>
          <w:lang w:eastAsia="ru-RU"/>
        </w:rPr>
        <w:t xml:space="preserve"> Таким образом, наиболее важными в сфере охраны здоровья граждан является осуществление надзора по обеспечению доступности медицинских услуг, оказание качественной медицинской помощи. </w:t>
      </w:r>
    </w:p>
    <w:p w:rsidR="00E002B5" w:rsidRPr="00E002B5" w:rsidRDefault="00E002B5" w:rsidP="0052342A">
      <w:pPr>
        <w:spacing w:after="0"/>
        <w:ind w:firstLine="708"/>
        <w:jc w:val="both"/>
        <w:rPr>
          <w:rFonts w:ascii="Times New Roman" w:eastAsia="Times New Roman" w:hAnsi="Times New Roman" w:cs="Times New Roman"/>
          <w:sz w:val="28"/>
          <w:szCs w:val="28"/>
          <w:lang w:eastAsia="ru-RU"/>
        </w:rPr>
      </w:pPr>
    </w:p>
    <w:p w:rsidR="0052342A" w:rsidRDefault="0052342A" w:rsidP="0052342A">
      <w:pPr>
        <w:tabs>
          <w:tab w:val="left" w:pos="4942"/>
        </w:tabs>
        <w:spacing w:after="0"/>
        <w:ind w:firstLine="708"/>
        <w:jc w:val="both"/>
        <w:rPr>
          <w:rFonts w:ascii="Times New Roman" w:eastAsia="Calibri" w:hAnsi="Times New Roman" w:cs="Times New Roman"/>
          <w:b/>
          <w:sz w:val="28"/>
          <w:szCs w:val="28"/>
        </w:rPr>
      </w:pPr>
    </w:p>
    <w:p w:rsidR="00E002B5" w:rsidRPr="00E002B5" w:rsidRDefault="00E002B5" w:rsidP="0052342A">
      <w:pPr>
        <w:tabs>
          <w:tab w:val="left" w:pos="4942"/>
        </w:tabs>
        <w:spacing w:after="0"/>
        <w:ind w:firstLine="708"/>
        <w:jc w:val="both"/>
        <w:rPr>
          <w:rFonts w:ascii="Times New Roman" w:eastAsia="Calibri" w:hAnsi="Times New Roman" w:cs="Times New Roman"/>
          <w:b/>
          <w:sz w:val="28"/>
          <w:szCs w:val="28"/>
        </w:rPr>
      </w:pPr>
      <w:r w:rsidRPr="00E002B5">
        <w:rPr>
          <w:rFonts w:ascii="Times New Roman" w:eastAsia="Calibri" w:hAnsi="Times New Roman" w:cs="Times New Roman"/>
          <w:b/>
          <w:sz w:val="28"/>
          <w:szCs w:val="28"/>
        </w:rPr>
        <w:lastRenderedPageBreak/>
        <w:t>В сфере защиты трудовых прав</w:t>
      </w:r>
    </w:p>
    <w:p w:rsidR="00E002B5" w:rsidRPr="00E002B5" w:rsidRDefault="00E002B5" w:rsidP="0052342A">
      <w:pPr>
        <w:tabs>
          <w:tab w:val="left" w:pos="4942"/>
        </w:tabs>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Социально-трудовая сфера занимает отдельное место во всей системе прокурорского надзора, поскольку вопросы, связанные с трудовым законодательством, имеют высокую важность как для отдельного гражданина Российской Федерации, так и приоритетное значение для развития экономики государства в целом. </w:t>
      </w:r>
    </w:p>
    <w:p w:rsidR="00E002B5" w:rsidRPr="00E002B5" w:rsidRDefault="00E002B5" w:rsidP="0052342A">
      <w:pPr>
        <w:tabs>
          <w:tab w:val="left" w:pos="4942"/>
        </w:tabs>
        <w:spacing w:after="0"/>
        <w:ind w:firstLine="709"/>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Конституция Российской Федерации провозглашает право каждого на труд, который отвечает требованиям безопасности и гигиены, а также на вознаграждение за труд без какой бы то ни было дискриминации и не ниже установленного федеральным законом минимального размера оплаты труда (МРОТ).</w:t>
      </w:r>
      <w:r w:rsidRPr="00E002B5">
        <w:rPr>
          <w:rFonts w:ascii="Times New Roman" w:eastAsia="Times New Roman" w:hAnsi="Times New Roman" w:cs="Times New Roman"/>
          <w:sz w:val="28"/>
          <w:szCs w:val="28"/>
          <w:lang w:eastAsia="ru-RU"/>
        </w:rPr>
        <w:t xml:space="preserve"> </w:t>
      </w:r>
      <w:r w:rsidRPr="00E002B5">
        <w:rPr>
          <w:rFonts w:ascii="Times New Roman" w:eastAsia="Calibri" w:hAnsi="Times New Roman" w:cs="Times New Roman"/>
          <w:sz w:val="28"/>
          <w:szCs w:val="28"/>
        </w:rPr>
        <w:t xml:space="preserve">Трудовой кодекс Российской Федерации (ст. 2 абз. 7), в свою очередь, признает право каждого работника на своевременную и в полном размере выплату заработной платы. </w:t>
      </w:r>
    </w:p>
    <w:p w:rsidR="00E002B5" w:rsidRPr="00E002B5" w:rsidRDefault="00E002B5" w:rsidP="0052342A">
      <w:pPr>
        <w:tabs>
          <w:tab w:val="left" w:pos="4942"/>
        </w:tabs>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Кроме этого, сфера труда регулируется иными федеральными законами и законами субъектов Российской Федерации, которые содержат нормы трудового права, указами Президента, постановлениями Правительства и нормативными правовыми актами федеральных органов исполнительной власти, органов исполнительной власти субъектов Российской Федерации и органов местного самоуправления, а также коллективными трудовыми договорами и локальными нормативными актами. </w:t>
      </w:r>
    </w:p>
    <w:p w:rsidR="00E002B5" w:rsidRPr="00E002B5" w:rsidRDefault="00E002B5" w:rsidP="0052342A">
      <w:pPr>
        <w:tabs>
          <w:tab w:val="left" w:pos="4942"/>
        </w:tabs>
        <w:spacing w:after="0"/>
        <w:ind w:firstLine="709"/>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Как правило, проверки исполнения законодательства об оплате труда и занятости населения проводятся оперативными сотрудниками прокуратуры с выходом по адресу нахождения организации, а также по месту непосредственного осуществления производственного процесса с целью выявления фактов неформальной занятости населения. </w:t>
      </w:r>
    </w:p>
    <w:p w:rsidR="00E002B5" w:rsidRPr="00E002B5" w:rsidRDefault="00E002B5" w:rsidP="0052342A">
      <w:pPr>
        <w:tabs>
          <w:tab w:val="left" w:pos="4942"/>
        </w:tabs>
        <w:spacing w:after="0"/>
        <w:ind w:firstLine="709"/>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К типичным нарушениям в сфере оплаты труда можно отнести: невыплата выходных пособий либо пособий по временной нетрудоспособности, невозмещение расходов в связи со служебными командировкам, нарушение сроков выплаты начисленной заработной платы и другие.</w:t>
      </w:r>
    </w:p>
    <w:p w:rsidR="00E002B5" w:rsidRPr="00E002B5" w:rsidRDefault="00E002B5" w:rsidP="0052342A">
      <w:pPr>
        <w:tabs>
          <w:tab w:val="left" w:pos="4942"/>
        </w:tabs>
        <w:spacing w:after="0"/>
        <w:ind w:firstLine="709"/>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Также устанавливаются нарушения по фактам допуска к работе лиц, не прошедших обязательных предварительных медицинских осмотров при приеме на работу, что образует состав административного правонарушения, предусмотренного ч.3 ст. 5.27.1 КоАП РФ и инициируется вопрос о привлечении виновного должного лица к административной ответственности.</w:t>
      </w:r>
    </w:p>
    <w:p w:rsidR="00E002B5" w:rsidRPr="00E002B5" w:rsidRDefault="00E002B5" w:rsidP="0052342A">
      <w:pPr>
        <w:spacing w:after="0"/>
        <w:rPr>
          <w:rFonts w:ascii="Times New Roman" w:eastAsia="Times New Roman" w:hAnsi="Times New Roman" w:cs="Times New Roman"/>
          <w:sz w:val="28"/>
          <w:szCs w:val="28"/>
          <w:lang w:eastAsia="ru-RU"/>
        </w:rPr>
      </w:pPr>
    </w:p>
    <w:p w:rsidR="0052342A" w:rsidRDefault="0052342A" w:rsidP="0052342A">
      <w:pPr>
        <w:spacing w:after="0"/>
        <w:rPr>
          <w:rFonts w:ascii="Times New Roman" w:hAnsi="Times New Roman" w:cs="Times New Roman"/>
          <w:b/>
          <w:sz w:val="28"/>
          <w:szCs w:val="28"/>
        </w:rPr>
      </w:pPr>
    </w:p>
    <w:p w:rsidR="0052342A" w:rsidRDefault="0052342A" w:rsidP="0052342A">
      <w:pPr>
        <w:spacing w:after="0"/>
        <w:rPr>
          <w:rFonts w:ascii="Times New Roman" w:hAnsi="Times New Roman" w:cs="Times New Roman"/>
          <w:b/>
          <w:sz w:val="28"/>
          <w:szCs w:val="28"/>
        </w:rPr>
      </w:pPr>
    </w:p>
    <w:p w:rsidR="00E002B5" w:rsidRPr="00E002B5" w:rsidRDefault="00E002B5" w:rsidP="0052342A">
      <w:pPr>
        <w:spacing w:after="0"/>
        <w:rPr>
          <w:rFonts w:ascii="Times New Roman" w:hAnsi="Times New Roman" w:cs="Times New Roman"/>
          <w:b/>
          <w:sz w:val="28"/>
          <w:szCs w:val="28"/>
        </w:rPr>
      </w:pPr>
      <w:r w:rsidRPr="00E002B5">
        <w:rPr>
          <w:rFonts w:ascii="Times New Roman" w:hAnsi="Times New Roman" w:cs="Times New Roman"/>
          <w:b/>
          <w:sz w:val="28"/>
          <w:szCs w:val="28"/>
        </w:rPr>
        <w:lastRenderedPageBreak/>
        <w:t>В сфере защиты социальных прав инвалидов.</w:t>
      </w:r>
    </w:p>
    <w:p w:rsidR="00E002B5" w:rsidRPr="00E002B5" w:rsidRDefault="00E002B5" w:rsidP="0052342A">
      <w:pPr>
        <w:spacing w:after="0"/>
        <w:ind w:firstLine="709"/>
        <w:rPr>
          <w:rFonts w:ascii="Times New Roman" w:eastAsia="Calibri" w:hAnsi="Times New Roman" w:cs="Times New Roman"/>
          <w:sz w:val="28"/>
          <w:szCs w:val="28"/>
        </w:rPr>
      </w:pPr>
      <w:r w:rsidRPr="00E002B5">
        <w:rPr>
          <w:rFonts w:ascii="Times New Roman" w:hAnsi="Times New Roman" w:cs="Times New Roman"/>
          <w:b/>
          <w:sz w:val="28"/>
          <w:szCs w:val="28"/>
        </w:rPr>
        <w:t xml:space="preserve"> </w:t>
      </w:r>
      <w:r w:rsidRPr="00E002B5">
        <w:rPr>
          <w:rFonts w:ascii="Times New Roman" w:eastAsia="Calibri" w:hAnsi="Times New Roman" w:cs="Times New Roman"/>
          <w:sz w:val="28"/>
          <w:szCs w:val="28"/>
        </w:rPr>
        <w:t>Статья 7 Конституции РФ провозглашает Российскую Федерацию как: «социальное государство, в котором вся политика направлена на создание таких условий, которые обеспечивают достойную жизнь и свободное развитие каждого человека».</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Статья 39 Конституции РФ: «каждому гарантируется социальное обеспечение не только по возрасту, но и в случае болезни, потери кормильца, инвалидности, и в иных случаях, которые установлены действующим российским законодательством».</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Защита социально-уязвимой категории граждан регулируются, в первую очередь, такими нормативными правовыми актами, как Федеральным законом от 12.01.1995 N 5-ФЗ «О ветеранах», Федеральным законом</w:t>
      </w:r>
      <w:r w:rsidRPr="00E002B5">
        <w:rPr>
          <w:rFonts w:ascii="Times New Roman" w:eastAsia="Times New Roman" w:hAnsi="Times New Roman" w:cs="Times New Roman"/>
          <w:sz w:val="28"/>
          <w:szCs w:val="28"/>
          <w:lang w:eastAsia="ru-RU"/>
        </w:rPr>
        <w:t xml:space="preserve"> </w:t>
      </w:r>
      <w:r w:rsidRPr="00E002B5">
        <w:rPr>
          <w:rFonts w:ascii="Times New Roman" w:eastAsia="Calibri" w:hAnsi="Times New Roman" w:cs="Times New Roman"/>
          <w:sz w:val="28"/>
          <w:szCs w:val="28"/>
        </w:rPr>
        <w:t>от 28.12.2013 N 442-ФЗ "Об основах социального обслуживания граждан в Российской Федерации", Федеральным законом</w:t>
      </w:r>
      <w:r w:rsidRPr="00E002B5">
        <w:rPr>
          <w:rFonts w:ascii="Times New Roman" w:eastAsia="Times New Roman" w:hAnsi="Times New Roman" w:cs="Times New Roman"/>
          <w:sz w:val="28"/>
          <w:szCs w:val="28"/>
          <w:lang w:eastAsia="ru-RU"/>
        </w:rPr>
        <w:t xml:space="preserve"> </w:t>
      </w:r>
      <w:r w:rsidRPr="00E002B5">
        <w:rPr>
          <w:rFonts w:ascii="Times New Roman" w:eastAsia="Calibri" w:hAnsi="Times New Roman" w:cs="Times New Roman"/>
          <w:sz w:val="28"/>
          <w:szCs w:val="28"/>
        </w:rPr>
        <w:t xml:space="preserve">от 28.12.2013 N 442-ФЗ «О социальной защите инвалидов в Российской Федерации», Федеральным законом от 28.12.2013 N 442-ФЗ  «О государственной социальной помощи» и другими. </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Надзорная деятельность прокуроров направлена на выявление нарушений при создании условий для беспрепятственного доступа инвалидов к объектам социальной инфраструктуры,  доступности инвалидов к информации, обеспечение медицинскими услугами и лекарственными средствами, восстановление жилищных, трудовых прав, соблюдение прав на пенсионное обеспечение и мер социальной поддержки, а также на общественное взаимодействие в целях профилактики нарушений.</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Анализируя практику прокурорского надзора в данной сфере, можно сделать вывод о том, что основная часть нарушений связана с неисполнением требований законодательства по созданию беспрепятственной среды жизнедеятельности для инвалидов, в том числе необеспечением доступа инвалидов и маломобильных граждан к объектам инфраструктуры. </w:t>
      </w:r>
    </w:p>
    <w:p w:rsidR="00E002B5" w:rsidRPr="00E002B5" w:rsidRDefault="00E002B5" w:rsidP="0052342A">
      <w:pPr>
        <w:tabs>
          <w:tab w:val="left" w:pos="1230"/>
          <w:tab w:val="left" w:pos="4942"/>
        </w:tabs>
        <w:spacing w:after="0"/>
        <w:ind w:firstLine="851"/>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В частности, внимание прокуроров обращается на соблюдение требований по обеспечению беспрепятственного доступа  к подъездам многоквартирных домов для проживающих в них инвалидов, передвигающихся на колясках. </w:t>
      </w:r>
    </w:p>
    <w:p w:rsidR="00E002B5" w:rsidRPr="00E002B5" w:rsidRDefault="00E002B5" w:rsidP="0052342A">
      <w:pPr>
        <w:tabs>
          <w:tab w:val="left" w:pos="936"/>
        </w:tabs>
        <w:spacing w:after="0"/>
        <w:jc w:val="both"/>
        <w:rPr>
          <w:rFonts w:ascii="Times New Roman" w:eastAsia="Times New Roman" w:hAnsi="Times New Roman" w:cs="Times New Roman"/>
          <w:sz w:val="28"/>
          <w:szCs w:val="28"/>
          <w:lang w:eastAsia="ru-RU"/>
        </w:rPr>
      </w:pPr>
      <w:r w:rsidRPr="00E002B5">
        <w:rPr>
          <w:rFonts w:ascii="Times New Roman" w:eastAsia="Times New Roman" w:hAnsi="Times New Roman" w:cs="Times New Roman"/>
          <w:sz w:val="28"/>
          <w:szCs w:val="28"/>
          <w:lang w:eastAsia="ru-RU"/>
        </w:rPr>
        <w:tab/>
        <w:t xml:space="preserve">Таким образом, государство приняло на себя обязанность признавать, соблюдать и защищать права и свободы человека и гражданина, ограждать их от любого незаконного вмешательства или ограничения. Эта конституционная обязанность государства состоит в создании условий для их реализации и защиты. Обеспечение таких условий и защита прав и свобод входят в функции всех органов государственной власти и местного </w:t>
      </w:r>
      <w:r w:rsidRPr="00E002B5">
        <w:rPr>
          <w:rFonts w:ascii="Times New Roman" w:eastAsia="Times New Roman" w:hAnsi="Times New Roman" w:cs="Times New Roman"/>
          <w:sz w:val="28"/>
          <w:szCs w:val="28"/>
          <w:lang w:eastAsia="ru-RU"/>
        </w:rPr>
        <w:lastRenderedPageBreak/>
        <w:t>самоуправления. Все ветви власти должны направлять усилия на то, чтобы предоставленные гражданам права и свободы не оставались декларацией, а реально были бы предоставлены и защищены.</w:t>
      </w: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E002B5" w:rsidRPr="00E002B5" w:rsidRDefault="00E002B5" w:rsidP="0052342A">
      <w:pPr>
        <w:spacing w:after="0"/>
        <w:ind w:firstLine="708"/>
        <w:jc w:val="both"/>
        <w:rPr>
          <w:rFonts w:ascii="Times New Roman" w:eastAsia="Calibri" w:hAnsi="Times New Roman" w:cs="Times New Roman"/>
          <w:b/>
          <w:sz w:val="28"/>
          <w:szCs w:val="28"/>
        </w:rPr>
      </w:pPr>
      <w:r w:rsidRPr="00E002B5">
        <w:rPr>
          <w:rFonts w:ascii="Times New Roman" w:eastAsia="Calibri" w:hAnsi="Times New Roman" w:cs="Times New Roman"/>
          <w:b/>
          <w:sz w:val="28"/>
          <w:szCs w:val="28"/>
        </w:rPr>
        <w:t>В сфере антитеррористической защищённости гостиниц.</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Так, постановлением Правительства Российской Федерации от 14.04.2017 № 447 утверждены Требования к антитеррористической защищенности гостиниц и иных средств размещения.</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Данным постановлением утверждены требования к антитеррористической защищённости гостиниц и других средств размещения и форма паспорта безопасности таких объектов. Требованиями устанавливается комплекс мер, направленных на обеспечение антитеррористической защищённости недвижимого имущества и комплексов недвижимого имущества туристской индустрии, предназначенных для оказания гостиничных услуг.</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К мерам по обеспечению антитеррористической защищённости относятся вопросы категорирования гостиниц и других средств размещения, их инженерно-технической укреплённости, контроля за выполнением установленных требований и разработки паспорта безопасности этих объектов.</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Антитеррористическая защищенность гостиницы независимо от установленной категории опасности обеспечивается путем:</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1. проведения организационных мероприятий по обеспечению антитеррористической защищенности гостиницы, которые включают в себя:</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-разработку организационно-распорядительных документов по организации охраны, пропускного режима на территории гостиницы;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-определение должностных лиц, ответственных за антитеррористическую защищенность гостиницы и ее потенциально опасных участков (критических элементов);</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lastRenderedPageBreak/>
        <w:t>-обеспечение подготовки работников гостиницы к действиям при угрозе совершения и при совершении террористического акта на территории гостиницы;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-организацию взаимодействия с территориальным органом безопасности, территориальным органом Министерства внутренних дел Российской Федерации, территориальным органом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гостиницы;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2. проведения мониторинга обстановки, складывающейся в районе расположения гостиницы;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3. оборудования гостиницы необходимыми инженерно-техническими средствами охраны;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4. применения современных информационно-коммуникационных технологий для обеспечения безопасности гостиницы;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5. осуществления контроля за соблюдением лицами, находящимися на территории гостиницы, требований к обеспечению антитеррористической защищенности гостиницы;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6. осуществления мероприятий по защите информации;</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7. оперативного оповещения и проведения эвакуации посетителей, персонала и должностных лиц гостиницы в случае угрозы совершения или совершения террористического акта на территории гостиницы;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8. проведения мероприятий по минимизации возможных последствий совершения террористического акта на территории гостиницы и ликвидации угрозы совершения террористического акта на территории гостиницы;</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9. своевременного информирования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 месту нахождения гостиницы об угрозе совершения или о совершении террористического акта на территории гостиницы.</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Таким образом, согласно Постановлению Правительства РФ от 14.04.2017 № 447, организация и осуществление контроля за выполнением требований в гостиницах возлагаются на ответственных лиц.</w:t>
      </w:r>
    </w:p>
    <w:p w:rsidR="0052342A" w:rsidRDefault="0052342A" w:rsidP="0052342A">
      <w:pPr>
        <w:spacing w:after="0"/>
        <w:rPr>
          <w:rFonts w:ascii="Times New Roman" w:hAnsi="Times New Roman" w:cs="Times New Roman"/>
          <w:b/>
          <w:sz w:val="28"/>
          <w:szCs w:val="28"/>
        </w:rPr>
      </w:pPr>
    </w:p>
    <w:p w:rsidR="0052342A" w:rsidRDefault="0052342A" w:rsidP="0052342A">
      <w:pPr>
        <w:spacing w:after="0"/>
        <w:rPr>
          <w:rFonts w:ascii="Times New Roman" w:hAnsi="Times New Roman" w:cs="Times New Roman"/>
          <w:b/>
          <w:sz w:val="28"/>
          <w:szCs w:val="28"/>
        </w:rPr>
      </w:pPr>
    </w:p>
    <w:p w:rsidR="0052342A" w:rsidRDefault="0052342A" w:rsidP="0052342A">
      <w:pPr>
        <w:spacing w:after="0"/>
        <w:rPr>
          <w:rFonts w:ascii="Times New Roman" w:hAnsi="Times New Roman" w:cs="Times New Roman"/>
          <w:b/>
          <w:sz w:val="28"/>
          <w:szCs w:val="28"/>
        </w:rPr>
      </w:pPr>
    </w:p>
    <w:p w:rsidR="0052342A" w:rsidRDefault="0052342A" w:rsidP="0052342A">
      <w:pPr>
        <w:spacing w:after="0"/>
        <w:rPr>
          <w:rFonts w:ascii="Times New Roman" w:hAnsi="Times New Roman" w:cs="Times New Roman"/>
          <w:b/>
          <w:sz w:val="28"/>
          <w:szCs w:val="28"/>
        </w:rPr>
      </w:pPr>
    </w:p>
    <w:p w:rsidR="00E002B5" w:rsidRPr="0052342A" w:rsidRDefault="00E002B5" w:rsidP="0052342A">
      <w:pPr>
        <w:spacing w:after="0"/>
        <w:rPr>
          <w:rFonts w:ascii="Times New Roman" w:hAnsi="Times New Roman" w:cs="Times New Roman"/>
          <w:sz w:val="28"/>
          <w:szCs w:val="28"/>
        </w:rPr>
      </w:pPr>
      <w:r w:rsidRPr="0052342A">
        <w:rPr>
          <w:rFonts w:ascii="Times New Roman" w:hAnsi="Times New Roman" w:cs="Times New Roman"/>
          <w:b/>
          <w:sz w:val="28"/>
          <w:szCs w:val="28"/>
        </w:rPr>
        <w:lastRenderedPageBreak/>
        <w:t>В сфере противодействия терроризму</w:t>
      </w:r>
      <w:r w:rsidRPr="0052342A">
        <w:rPr>
          <w:rFonts w:ascii="Times New Roman" w:hAnsi="Times New Roman" w:cs="Times New Roman"/>
          <w:b/>
          <w:sz w:val="28"/>
          <w:szCs w:val="28"/>
        </w:rPr>
        <w:br/>
      </w:r>
      <w:r w:rsidRPr="0052342A">
        <w:rPr>
          <w:rFonts w:ascii="Times New Roman" w:hAnsi="Times New Roman" w:cs="Times New Roman"/>
          <w:color w:val="22272F"/>
          <w:sz w:val="28"/>
          <w:szCs w:val="28"/>
          <w:shd w:val="clear" w:color="auto" w:fill="FFFFFF"/>
        </w:rPr>
        <w:t xml:space="preserve">         Федеральный закон от 6 марта 2006 г. N 35-ФЗ "О противодействии терроризму"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E002B5" w:rsidRPr="0052342A" w:rsidRDefault="00E002B5" w:rsidP="0052342A">
      <w:pPr>
        <w:spacing w:after="0"/>
        <w:ind w:firstLine="708"/>
        <w:jc w:val="both"/>
        <w:rPr>
          <w:rFonts w:ascii="Times New Roman" w:hAnsi="Times New Roman" w:cs="Times New Roman"/>
          <w:sz w:val="28"/>
          <w:szCs w:val="28"/>
        </w:rPr>
      </w:pPr>
      <w:r w:rsidRPr="0052342A">
        <w:rPr>
          <w:rFonts w:ascii="Times New Roman" w:hAnsi="Times New Roman" w:cs="Times New Roman"/>
          <w:sz w:val="28"/>
          <w:szCs w:val="28"/>
        </w:rPr>
        <w:t>Под термином "терроризм" понимается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связанных с устрашением населения и (или) иными формами противоправных насильственных действий.</w:t>
      </w:r>
    </w:p>
    <w:p w:rsidR="00E002B5" w:rsidRPr="0052342A" w:rsidRDefault="00E002B5" w:rsidP="0052342A">
      <w:pPr>
        <w:spacing w:after="0"/>
        <w:ind w:firstLine="708"/>
        <w:jc w:val="both"/>
        <w:rPr>
          <w:rFonts w:ascii="Times New Roman" w:hAnsi="Times New Roman" w:cs="Times New Roman"/>
          <w:sz w:val="28"/>
          <w:szCs w:val="28"/>
        </w:rPr>
      </w:pPr>
      <w:r w:rsidRPr="0052342A">
        <w:rPr>
          <w:rFonts w:ascii="Times New Roman" w:hAnsi="Times New Roman" w:cs="Times New Roman"/>
          <w:sz w:val="28"/>
          <w:szCs w:val="28"/>
        </w:rPr>
        <w:t>Определения терроризма также содержатся в международных конвенциях, ратифицированных Российской Федерацией, и российском законодательстве. Так, </w:t>
      </w:r>
      <w:r w:rsidRPr="0052342A">
        <w:rPr>
          <w:rStyle w:val="a9"/>
          <w:rFonts w:ascii="Times New Roman" w:hAnsi="Times New Roman" w:cs="Times New Roman"/>
          <w:color w:val="auto"/>
          <w:sz w:val="28"/>
          <w:szCs w:val="28"/>
          <w:u w:val="none"/>
        </w:rPr>
        <w:t>Европейская конвенция</w:t>
      </w:r>
      <w:r w:rsidRPr="0052342A">
        <w:rPr>
          <w:rFonts w:ascii="Times New Roman" w:hAnsi="Times New Roman" w:cs="Times New Roman"/>
          <w:sz w:val="28"/>
          <w:szCs w:val="28"/>
        </w:rPr>
        <w:t> о борьбе с терроризмом от       27 января 1977 г. к терроризму относит: а) правонарушения, связанные с преступным захватом летательных аппаратов; б) правонарушения, направленные против безопасности гражданской авиации; в) тяжелые правонарушения, заключающиеся в покушении на жизнь, телесную целостность или свободу людей, имеющих право международной защиты, включая дипломатических представителей; г) правонарушения, содержащие захват заложников или незаконное лишение свободы; д) правонарушения, содержащие использование бомб, гранат, ракет, автоматического огнестрельного оружия, бандеролей или посылок с опасными вложениями, соразмерно с тем, насколько подобное использование представляет опасность для людей; е) попытку совершения одного из вышеуказанных правонарушений или участие в качестве сообщника лица, которое совершает или пытается совершить подобное правонарушение</w:t>
      </w:r>
    </w:p>
    <w:p w:rsidR="00E002B5" w:rsidRPr="0052342A" w:rsidRDefault="00E002B5" w:rsidP="0052342A">
      <w:pPr>
        <w:spacing w:after="0"/>
        <w:ind w:firstLine="708"/>
        <w:jc w:val="both"/>
        <w:rPr>
          <w:rFonts w:ascii="Times New Roman" w:hAnsi="Times New Roman" w:cs="Times New Roman"/>
          <w:sz w:val="28"/>
          <w:szCs w:val="28"/>
        </w:rPr>
      </w:pPr>
      <w:r w:rsidRPr="0052342A">
        <w:rPr>
          <w:rFonts w:ascii="Times New Roman" w:hAnsi="Times New Roman" w:cs="Times New Roman"/>
          <w:color w:val="22272F"/>
          <w:sz w:val="28"/>
          <w:szCs w:val="28"/>
          <w:shd w:val="clear" w:color="auto" w:fill="FFFFFF"/>
        </w:rPr>
        <w:t>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 а также в соответствии с международными договорами Российской Федерации. </w:t>
      </w:r>
    </w:p>
    <w:p w:rsidR="00E002B5" w:rsidRPr="0052342A" w:rsidRDefault="00E002B5" w:rsidP="0052342A">
      <w:pPr>
        <w:ind w:firstLine="708"/>
        <w:jc w:val="both"/>
        <w:rPr>
          <w:rFonts w:ascii="Times New Roman" w:hAnsi="Times New Roman" w:cs="Times New Roman"/>
          <w:sz w:val="28"/>
          <w:szCs w:val="28"/>
        </w:rPr>
      </w:pPr>
      <w:r w:rsidRPr="0052342A">
        <w:rPr>
          <w:rFonts w:ascii="Times New Roman" w:hAnsi="Times New Roman" w:cs="Times New Roman"/>
          <w:sz w:val="28"/>
          <w:szCs w:val="28"/>
        </w:rPr>
        <w:t xml:space="preserve">Статьей 205.2 Уголовного кодекса Российской Федерации (далее- УК РФ) установлена уголовная ответственность за публичные призывы к осуществлению террористической деятельности, публичное оправдание терроризма или пропаганда терроризма. Под публичными призывами к осуществлению террористической деятельности следует понимать </w:t>
      </w:r>
      <w:r w:rsidRPr="0052342A">
        <w:rPr>
          <w:rFonts w:ascii="Times New Roman" w:hAnsi="Times New Roman" w:cs="Times New Roman"/>
          <w:sz w:val="28"/>
          <w:szCs w:val="28"/>
        </w:rPr>
        <w:lastRenderedPageBreak/>
        <w:t>выраженные в любой форме (например, в устной, письменной, с использованием технических средств) обращения к другим лицам с целью побудить их к осуществлению террористической деятельности, то есть к совершению преступлений, предусмотренных статьями 205-206, 208, 211, 220, 221, 277, 278, 279, 360, 361 данного УК РФ; согласно примечанию  1 к ст. 205.2 УК РФ, публичное оправдание терроризма выражается в публичном заявлении о признании идеологии и практики терроризма правильными, нуждающимися в поддержке и подражании.</w:t>
      </w: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E002B5" w:rsidRPr="00E002B5" w:rsidRDefault="00E002B5" w:rsidP="0052342A">
      <w:pPr>
        <w:spacing w:after="0"/>
        <w:ind w:firstLine="708"/>
        <w:jc w:val="both"/>
        <w:rPr>
          <w:rFonts w:ascii="Times New Roman" w:eastAsia="Calibri" w:hAnsi="Times New Roman" w:cs="Times New Roman"/>
          <w:b/>
          <w:sz w:val="28"/>
          <w:szCs w:val="28"/>
        </w:rPr>
      </w:pPr>
      <w:r w:rsidRPr="00E002B5">
        <w:rPr>
          <w:rFonts w:ascii="Times New Roman" w:eastAsia="Calibri" w:hAnsi="Times New Roman" w:cs="Times New Roman"/>
          <w:b/>
          <w:sz w:val="28"/>
          <w:szCs w:val="28"/>
        </w:rPr>
        <w:t>В сфере предоставления заведомо ложных сообщений об акте терроризма</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Статьей 207 Уголовного кодекса РФ, предусмотрена уголовная ответственность за заведомо ложное сообщение об акте терроризма. Такое сообщение может быть выражено в любой форме (устно, письменно, с помощью средств связи; как анонимно, так и с указанием автора) и направлено любому адресату (органам власти, руководителям предприятий, учреждений, организаций, а также отдельным гражданам).</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Материальный ущерб, состоящий из затрат правоохранительных органов на проверку сообщения об акте терроризма; упущенная выгода организаций в результате приостановления их деятельности по причине угрозы террористического акта, взыскиваются с лица, совершившего такое преступление.</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Кроме того, под угрозу ставятся права и интересы граждан, юридических лиц (ложное сообщение об акте терроризма может нарушить привычный порядок деятельности указанных лиц со всеми вытекающими из этого последствиями); жизнь и здоровье человека (например, в результате паники, создавшейся по причине ложного сообщения об акте терроризма, может быть нанесен как психологический, так и физический вред здоровью людей).</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 xml:space="preserve">К заведомо ложным сообщениям об акте терроризма относятся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При этом лицо осознает, что сообщает ложные сведения об акте терроризма, а также общественную опасность содеянного и желает этого. </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lastRenderedPageBreak/>
        <w:t>Общественная опасность данного преступления состоит в попытке нарушить нормальную деятельность предприятий, учреждений, транспорта, правоохранительных органов, отвлечение сил и средств на проверку ложных сообщений. Совершение такого преступления может повлечь за собой массовую эвакуацию граждан, остановку деятельности жизненно важных объектов социальной инфраструктуры, нарушение законных прав других лиц.</w:t>
      </w:r>
    </w:p>
    <w:p w:rsidR="00E002B5" w:rsidRPr="00E002B5" w:rsidRDefault="00E002B5" w:rsidP="0052342A">
      <w:pPr>
        <w:spacing w:after="0"/>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По поступающим подобного рода угрозам правоохранительными органами проводятся соответствующие проверки, принимаются неотложные меры по поиску взрывных устройств и недопущению возможных негативных последствий, что требует определенных затрат, проведения комплекса следственных действий, оперативно - розыскных и иных мероприятий.</w:t>
      </w:r>
    </w:p>
    <w:p w:rsidR="00E002B5" w:rsidRPr="00E002B5" w:rsidRDefault="00E002B5" w:rsidP="0052342A">
      <w:pPr>
        <w:spacing w:after="0"/>
        <w:ind w:firstLine="708"/>
        <w:jc w:val="both"/>
        <w:rPr>
          <w:rFonts w:ascii="Times New Roman" w:eastAsia="Calibri" w:hAnsi="Times New Roman" w:cs="Times New Roman"/>
          <w:sz w:val="28"/>
          <w:szCs w:val="28"/>
        </w:rPr>
      </w:pPr>
      <w:r w:rsidRPr="00E002B5">
        <w:rPr>
          <w:rFonts w:ascii="Times New Roman" w:eastAsia="Calibri" w:hAnsi="Times New Roman" w:cs="Times New Roman"/>
          <w:sz w:val="28"/>
          <w:szCs w:val="28"/>
        </w:rPr>
        <w:t>Таким образом, необходимо знать, что заведомо ложное сообщение об акте терроризма является уголовно наказуемым преступлением.</w:t>
      </w:r>
    </w:p>
    <w:p w:rsidR="00E002B5" w:rsidRPr="00E002B5" w:rsidRDefault="00E002B5" w:rsidP="0052342A">
      <w:pPr>
        <w:spacing w:after="0"/>
        <w:jc w:val="both"/>
        <w:rPr>
          <w:rFonts w:ascii="Times New Roman" w:eastAsia="Calibri" w:hAnsi="Times New Roman" w:cs="Times New Roman"/>
          <w:sz w:val="28"/>
          <w:szCs w:val="28"/>
        </w:rPr>
      </w:pPr>
    </w:p>
    <w:p w:rsidR="0052342A" w:rsidRDefault="0052342A" w:rsidP="0052342A">
      <w:pPr>
        <w:spacing w:after="0"/>
        <w:jc w:val="both"/>
        <w:rPr>
          <w:rFonts w:ascii="Times New Roman" w:eastAsia="Calibri" w:hAnsi="Times New Roman" w:cs="Times New Roman"/>
          <w:b/>
          <w:sz w:val="28"/>
          <w:szCs w:val="28"/>
        </w:rPr>
      </w:pPr>
    </w:p>
    <w:p w:rsidR="0052342A" w:rsidRDefault="0052342A" w:rsidP="0052342A">
      <w:pPr>
        <w:spacing w:after="0"/>
        <w:jc w:val="both"/>
        <w:rPr>
          <w:rFonts w:ascii="Times New Roman" w:eastAsia="Calibri" w:hAnsi="Times New Roman" w:cs="Times New Roman"/>
          <w:b/>
          <w:sz w:val="28"/>
          <w:szCs w:val="28"/>
        </w:rPr>
      </w:pPr>
    </w:p>
    <w:p w:rsidR="0052342A" w:rsidRPr="0052342A" w:rsidRDefault="0052342A" w:rsidP="0052342A">
      <w:pPr>
        <w:spacing w:after="0"/>
        <w:jc w:val="both"/>
        <w:rPr>
          <w:rFonts w:ascii="Times New Roman" w:eastAsia="Calibri" w:hAnsi="Times New Roman" w:cs="Times New Roman"/>
          <w:b/>
          <w:sz w:val="28"/>
          <w:szCs w:val="28"/>
        </w:rPr>
      </w:pPr>
      <w:r w:rsidRPr="0052342A">
        <w:rPr>
          <w:rFonts w:ascii="Times New Roman" w:eastAsia="Calibri" w:hAnsi="Times New Roman" w:cs="Times New Roman"/>
          <w:b/>
          <w:sz w:val="28"/>
          <w:szCs w:val="28"/>
        </w:rPr>
        <w:t xml:space="preserve">В сфере противодействия экстремисткой деятельности </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Федеральным законом от 25 июля 2002 г. N 114-ФЗ "О противодействии экстремистской деятельности" определены правовые и организационные основы противодействия экстремистской деятельности, а также предусмотрена ответственность за осуществление такой деятельности в целях защиты прав и свобод человека и гражданина, основ конституционного строя, обеспечения целостности и безопасности Российской Федерации.</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В соответствии с </w:t>
      </w:r>
      <w:hyperlink r:id="rId9" w:anchor="/document/10164186/entry/50001" w:history="1">
        <w:r w:rsidRPr="0052342A">
          <w:rPr>
            <w:rFonts w:ascii="Times New Roman" w:eastAsia="Calibri" w:hAnsi="Times New Roman" w:cs="Times New Roman"/>
            <w:sz w:val="28"/>
            <w:szCs w:val="28"/>
          </w:rPr>
          <w:t>ч. 1 ст. 5</w:t>
        </w:r>
      </w:hyperlink>
      <w:r w:rsidRPr="0052342A">
        <w:rPr>
          <w:rFonts w:ascii="Times New Roman" w:eastAsia="Calibri" w:hAnsi="Times New Roman" w:cs="Times New Roman"/>
          <w:sz w:val="28"/>
          <w:szCs w:val="28"/>
        </w:rPr>
        <w:t xml:space="preserve"> Федерального закона от 19 мая 1995 г. N 82-ФЗ "Об общественных объединениях" 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Общественные объединения могут создаваться в одной из следующих организационно-правовых форм: </w:t>
      </w:r>
      <w:hyperlink r:id="rId10" w:anchor="/document/10164186/entry/8" w:history="1">
        <w:r w:rsidRPr="0052342A">
          <w:rPr>
            <w:rFonts w:ascii="Times New Roman" w:eastAsia="Calibri" w:hAnsi="Times New Roman" w:cs="Times New Roman"/>
            <w:sz w:val="28"/>
            <w:szCs w:val="28"/>
          </w:rPr>
          <w:t>общественная организация</w:t>
        </w:r>
      </w:hyperlink>
      <w:r w:rsidRPr="0052342A">
        <w:rPr>
          <w:rFonts w:ascii="Times New Roman" w:eastAsia="Calibri" w:hAnsi="Times New Roman" w:cs="Times New Roman"/>
          <w:sz w:val="28"/>
          <w:szCs w:val="28"/>
        </w:rPr>
        <w:t xml:space="preserve">; </w:t>
      </w:r>
      <w:hyperlink r:id="rId11" w:anchor="/document/10164186/entry/9" w:history="1">
        <w:r w:rsidRPr="0052342A">
          <w:rPr>
            <w:rFonts w:ascii="Times New Roman" w:eastAsia="Calibri" w:hAnsi="Times New Roman" w:cs="Times New Roman"/>
            <w:sz w:val="28"/>
            <w:szCs w:val="28"/>
          </w:rPr>
          <w:t>общественное движение</w:t>
        </w:r>
      </w:hyperlink>
      <w:r w:rsidRPr="0052342A">
        <w:rPr>
          <w:rFonts w:ascii="Times New Roman" w:eastAsia="Calibri" w:hAnsi="Times New Roman" w:cs="Times New Roman"/>
          <w:sz w:val="28"/>
          <w:szCs w:val="28"/>
        </w:rPr>
        <w:t xml:space="preserve">; </w:t>
      </w:r>
      <w:hyperlink r:id="rId12" w:anchor="/document/10164186/entry/10" w:history="1">
        <w:r w:rsidRPr="0052342A">
          <w:rPr>
            <w:rFonts w:ascii="Times New Roman" w:eastAsia="Calibri" w:hAnsi="Times New Roman" w:cs="Times New Roman"/>
            <w:sz w:val="28"/>
            <w:szCs w:val="28"/>
          </w:rPr>
          <w:t>общественный фонд</w:t>
        </w:r>
      </w:hyperlink>
      <w:r w:rsidRPr="0052342A">
        <w:rPr>
          <w:rFonts w:ascii="Times New Roman" w:eastAsia="Calibri" w:hAnsi="Times New Roman" w:cs="Times New Roman"/>
          <w:sz w:val="28"/>
          <w:szCs w:val="28"/>
        </w:rPr>
        <w:t xml:space="preserve">; </w:t>
      </w:r>
      <w:hyperlink r:id="rId13" w:anchor="/document/10164186/entry/11" w:history="1">
        <w:r w:rsidRPr="0052342A">
          <w:rPr>
            <w:rFonts w:ascii="Times New Roman" w:eastAsia="Calibri" w:hAnsi="Times New Roman" w:cs="Times New Roman"/>
            <w:sz w:val="28"/>
            <w:szCs w:val="28"/>
          </w:rPr>
          <w:t>общественное учреждение</w:t>
        </w:r>
      </w:hyperlink>
      <w:r w:rsidRPr="0052342A">
        <w:rPr>
          <w:rFonts w:ascii="Times New Roman" w:eastAsia="Calibri" w:hAnsi="Times New Roman" w:cs="Times New Roman"/>
          <w:sz w:val="28"/>
          <w:szCs w:val="28"/>
        </w:rPr>
        <w:t xml:space="preserve">; </w:t>
      </w:r>
      <w:hyperlink r:id="rId14" w:anchor="/document/10164186/entry/12" w:history="1">
        <w:r w:rsidRPr="0052342A">
          <w:rPr>
            <w:rFonts w:ascii="Times New Roman" w:eastAsia="Calibri" w:hAnsi="Times New Roman" w:cs="Times New Roman"/>
            <w:sz w:val="28"/>
            <w:szCs w:val="28"/>
          </w:rPr>
          <w:t>орган общественной самодеятельности</w:t>
        </w:r>
      </w:hyperlink>
      <w:r w:rsidRPr="0052342A">
        <w:rPr>
          <w:rFonts w:ascii="Times New Roman" w:eastAsia="Calibri" w:hAnsi="Times New Roman" w:cs="Times New Roman"/>
          <w:sz w:val="28"/>
          <w:szCs w:val="28"/>
        </w:rPr>
        <w:t xml:space="preserve">; </w:t>
      </w:r>
      <w:hyperlink r:id="rId15" w:anchor="/document/183523/entry/3" w:history="1">
        <w:r w:rsidRPr="0052342A">
          <w:rPr>
            <w:rFonts w:ascii="Times New Roman" w:eastAsia="Calibri" w:hAnsi="Times New Roman" w:cs="Times New Roman"/>
            <w:sz w:val="28"/>
            <w:szCs w:val="28"/>
          </w:rPr>
          <w:t>политическая партия.</w:t>
        </w:r>
      </w:hyperlink>
    </w:p>
    <w:p w:rsidR="0052342A" w:rsidRPr="0052342A" w:rsidRDefault="0052342A" w:rsidP="0052342A">
      <w:pPr>
        <w:spacing w:after="0"/>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lastRenderedPageBreak/>
        <w:t xml:space="preserve">За нарушение требований Федерального закона «О противодействии экстремистской деятельности» в отношении объединений может быть вынесено решение о приостановлении деятельности. </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Статья 20.28 Кодекса об административных правонарушениях Российской Федерации устанавливает меры административной ответственности за организацию деятельности общественного или религиозного объединения, в отношении которого принято решение о приостановлении его деятельности.</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Times New Roman" w:hAnsi="Times New Roman" w:cs="Times New Roman"/>
          <w:sz w:val="28"/>
          <w:szCs w:val="28"/>
          <w:lang w:eastAsia="ru-RU"/>
        </w:rPr>
        <w:t>Прядок приостановления деятельности общественного или религиозного объединения установлен </w:t>
      </w:r>
      <w:hyperlink r:id="rId16" w:anchor="/document/12127578/entry/10" w:history="1">
        <w:r w:rsidRPr="0052342A">
          <w:rPr>
            <w:rFonts w:ascii="Times New Roman" w:eastAsia="Times New Roman" w:hAnsi="Times New Roman" w:cs="Times New Roman"/>
            <w:sz w:val="28"/>
            <w:szCs w:val="28"/>
            <w:lang w:eastAsia="ru-RU"/>
          </w:rPr>
          <w:t>ст. 10</w:t>
        </w:r>
      </w:hyperlink>
      <w:r w:rsidRPr="0052342A">
        <w:rPr>
          <w:rFonts w:ascii="Times New Roman" w:eastAsia="Times New Roman" w:hAnsi="Times New Roman" w:cs="Times New Roman"/>
          <w:sz w:val="28"/>
          <w:szCs w:val="28"/>
          <w:lang w:eastAsia="ru-RU"/>
        </w:rPr>
        <w:t> Федерального закона от "О противодействии экстремистской деятельности". Положениями этой статьи установлено, что 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r:id="rId17" w:anchor="/document/12127578/entry/9" w:history="1">
        <w:r w:rsidRPr="0052342A">
          <w:rPr>
            <w:rFonts w:ascii="Times New Roman" w:eastAsia="Times New Roman" w:hAnsi="Times New Roman" w:cs="Times New Roman"/>
            <w:sz w:val="28"/>
            <w:szCs w:val="28"/>
            <w:u w:val="single"/>
            <w:lang w:eastAsia="ru-RU"/>
          </w:rPr>
          <w:t>ст. 9</w:t>
        </w:r>
      </w:hyperlink>
      <w:r w:rsidRPr="0052342A">
        <w:rPr>
          <w:rFonts w:ascii="Times New Roman" w:eastAsia="Times New Roman" w:hAnsi="Times New Roman" w:cs="Times New Roman"/>
          <w:sz w:val="28"/>
          <w:szCs w:val="28"/>
          <w:lang w:eastAsia="ru-RU"/>
        </w:rPr>
        <w:t> Закона N 114-ФЗ,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Times New Roman" w:hAnsi="Times New Roman" w:cs="Times New Roman"/>
          <w:sz w:val="28"/>
          <w:szCs w:val="28"/>
          <w:lang w:eastAsia="ru-RU"/>
        </w:rPr>
        <w:t>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Default="0052342A" w:rsidP="0052342A">
      <w:pPr>
        <w:spacing w:after="0"/>
        <w:ind w:firstLine="708"/>
        <w:jc w:val="both"/>
        <w:rPr>
          <w:rFonts w:ascii="Times New Roman" w:eastAsia="Calibri" w:hAnsi="Times New Roman" w:cs="Times New Roman"/>
          <w:b/>
          <w:sz w:val="28"/>
          <w:szCs w:val="28"/>
        </w:rPr>
      </w:pPr>
    </w:p>
    <w:p w:rsidR="0052342A" w:rsidRPr="0052342A" w:rsidRDefault="0052342A" w:rsidP="0052342A">
      <w:pPr>
        <w:spacing w:after="0"/>
        <w:ind w:firstLine="708"/>
        <w:jc w:val="both"/>
        <w:rPr>
          <w:rFonts w:ascii="Times New Roman" w:eastAsia="Calibri" w:hAnsi="Times New Roman" w:cs="Times New Roman"/>
          <w:b/>
          <w:sz w:val="28"/>
          <w:szCs w:val="28"/>
        </w:rPr>
      </w:pPr>
      <w:r w:rsidRPr="0052342A">
        <w:rPr>
          <w:rFonts w:ascii="Times New Roman" w:eastAsia="Calibri" w:hAnsi="Times New Roman" w:cs="Times New Roman"/>
          <w:b/>
          <w:sz w:val="28"/>
          <w:szCs w:val="28"/>
        </w:rPr>
        <w:lastRenderedPageBreak/>
        <w:t>В сфере антитеррористической защищенности религиозных организаций</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19 сентября 2019 года вступило в силу постановление Правительства Российской Федерации от 05.09.2019 № 1165 «Об утверждении требований к антитеррористической защищенности объектов (территорий) религиозных организаций и формы паспорта безопасности объектов (территорий) религиозных организаций».</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Указанные требования устанавливают обязательные для выполнения организационные, инженерно-технические и иные мероприятия по обеспечению антитеррористической защищенности объектов (территорий) религиозных организаций.</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Обязанность по выполнению указанных мероприятий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В целях установления требований к антитеррористической защищенности зданий и территорий объектов религиозного назначения решением руководителя религиозной организации – владельца категорируемого объекта (территории) создается комиссия.</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Перечень объектов (территорий), расположенных в пределах территории субъекта Российской Федерации и подлежащих антитеррористической защите, формируется органом исполнительной власти субъекта Российской Федерации, уполномоченным высшим должностным лицом субъекта Российской Федерации на основании сведений, полученных от религиозных организаций. На каждый объект (территорию), которому присвоена категория, в течение 30 дней после подписания акта обследования разрабатывается паспорт безопасности, который подлежит согласованию с руководителями территориального органа безопасности,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 уполномоченного органа по месту нахождения объекта. Утверждается паспорт руководителем религиозной организации.</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 xml:space="preserve">Контроль за выполнением настоящих требований осуществляется уполномоченным органом в форме плановых и внеплановых проверок антитеррористической защищенности объектов (территорий) и заключается в проверке выполнения требований нормативных документов по вопросам антитеррористической защищенности объектов (территорий), а также </w:t>
      </w:r>
      <w:r w:rsidRPr="0052342A">
        <w:rPr>
          <w:rFonts w:ascii="Times New Roman" w:eastAsia="Calibri" w:hAnsi="Times New Roman" w:cs="Times New Roman"/>
          <w:sz w:val="28"/>
          <w:szCs w:val="28"/>
        </w:rPr>
        <w:lastRenderedPageBreak/>
        <w:t>выполнения предписаний должностных лиц уполномоченного органа об устранении выявленных нарушений настоящих требований.</w:t>
      </w:r>
    </w:p>
    <w:p w:rsidR="0052342A" w:rsidRPr="0052342A" w:rsidRDefault="0052342A" w:rsidP="0052342A">
      <w:pPr>
        <w:spacing w:after="0"/>
        <w:ind w:firstLine="708"/>
        <w:jc w:val="both"/>
        <w:rPr>
          <w:rFonts w:ascii="Times New Roman" w:eastAsia="Calibri" w:hAnsi="Times New Roman" w:cs="Times New Roman"/>
          <w:sz w:val="28"/>
          <w:szCs w:val="28"/>
        </w:rPr>
      </w:pPr>
      <w:r w:rsidRPr="0052342A">
        <w:rPr>
          <w:rFonts w:ascii="Times New Roman" w:eastAsia="Calibri" w:hAnsi="Times New Roman" w:cs="Times New Roman"/>
          <w:sz w:val="28"/>
          <w:szCs w:val="28"/>
        </w:rPr>
        <w:t>Таким образом, нормативным актом регламентируются пошаговые действия, направленные на повышение уровня антитеррористической защищенности указанных объектов, а также установлена типовая форма паспорта безопасности объектов.</w:t>
      </w:r>
    </w:p>
    <w:p w:rsidR="00E002B5" w:rsidRPr="0052342A" w:rsidRDefault="00E002B5" w:rsidP="0052342A">
      <w:pPr>
        <w:spacing w:after="0"/>
        <w:rPr>
          <w:rFonts w:ascii="Times New Roman" w:hAnsi="Times New Roman" w:cs="Times New Roman"/>
          <w:sz w:val="28"/>
          <w:szCs w:val="28"/>
        </w:rPr>
      </w:pPr>
    </w:p>
    <w:sectPr w:rsidR="00E002B5" w:rsidRPr="0052342A" w:rsidSect="003D3F3F">
      <w:head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17" w:rsidRDefault="00333517" w:rsidP="003D3F3F">
      <w:pPr>
        <w:spacing w:after="0" w:line="240" w:lineRule="auto"/>
      </w:pPr>
      <w:r>
        <w:separator/>
      </w:r>
    </w:p>
  </w:endnote>
  <w:endnote w:type="continuationSeparator" w:id="0">
    <w:p w:rsidR="00333517" w:rsidRDefault="00333517" w:rsidP="003D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17" w:rsidRDefault="00333517" w:rsidP="003D3F3F">
      <w:pPr>
        <w:spacing w:after="0" w:line="240" w:lineRule="auto"/>
      </w:pPr>
      <w:r>
        <w:separator/>
      </w:r>
    </w:p>
  </w:footnote>
  <w:footnote w:type="continuationSeparator" w:id="0">
    <w:p w:rsidR="00333517" w:rsidRDefault="00333517" w:rsidP="003D3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499405"/>
      <w:docPartObj>
        <w:docPartGallery w:val="Page Numbers (Top of Page)"/>
        <w:docPartUnique/>
      </w:docPartObj>
    </w:sdtPr>
    <w:sdtEndPr/>
    <w:sdtContent>
      <w:p w:rsidR="003D3F3F" w:rsidRDefault="003D3F3F">
        <w:pPr>
          <w:pStyle w:val="a3"/>
          <w:jc w:val="center"/>
        </w:pPr>
        <w:r>
          <w:fldChar w:fldCharType="begin"/>
        </w:r>
        <w:r>
          <w:instrText>PAGE   \* MERGEFORMAT</w:instrText>
        </w:r>
        <w:r>
          <w:fldChar w:fldCharType="separate"/>
        </w:r>
        <w:r w:rsidR="00107A09">
          <w:rPr>
            <w:noProof/>
          </w:rPr>
          <w:t>13</w:t>
        </w:r>
        <w:r>
          <w:fldChar w:fldCharType="end"/>
        </w:r>
      </w:p>
    </w:sdtContent>
  </w:sdt>
  <w:p w:rsidR="003D3F3F" w:rsidRDefault="003D3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F5"/>
    <w:rsid w:val="0004416B"/>
    <w:rsid w:val="00091949"/>
    <w:rsid w:val="00106C26"/>
    <w:rsid w:val="00107A09"/>
    <w:rsid w:val="00112C8A"/>
    <w:rsid w:val="00121F7D"/>
    <w:rsid w:val="0016406E"/>
    <w:rsid w:val="001D13F3"/>
    <w:rsid w:val="00217086"/>
    <w:rsid w:val="002B6FF5"/>
    <w:rsid w:val="002E74BD"/>
    <w:rsid w:val="002E7F99"/>
    <w:rsid w:val="00333517"/>
    <w:rsid w:val="00365135"/>
    <w:rsid w:val="003B6AB0"/>
    <w:rsid w:val="003C07D9"/>
    <w:rsid w:val="003D3F3F"/>
    <w:rsid w:val="00452D80"/>
    <w:rsid w:val="0052342A"/>
    <w:rsid w:val="006661A1"/>
    <w:rsid w:val="006A7AE8"/>
    <w:rsid w:val="007356F0"/>
    <w:rsid w:val="007C6983"/>
    <w:rsid w:val="008A6B11"/>
    <w:rsid w:val="008E78A9"/>
    <w:rsid w:val="009E3DC7"/>
    <w:rsid w:val="00AD25F7"/>
    <w:rsid w:val="00C86C36"/>
    <w:rsid w:val="00E002B5"/>
    <w:rsid w:val="00E65966"/>
    <w:rsid w:val="00FD5E42"/>
    <w:rsid w:val="00FF0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F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3F3F"/>
  </w:style>
  <w:style w:type="paragraph" w:styleId="a5">
    <w:name w:val="footer"/>
    <w:basedOn w:val="a"/>
    <w:link w:val="a6"/>
    <w:uiPriority w:val="99"/>
    <w:unhideWhenUsed/>
    <w:rsid w:val="003D3F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3F3F"/>
  </w:style>
  <w:style w:type="paragraph" w:styleId="a7">
    <w:name w:val="Balloon Text"/>
    <w:basedOn w:val="a"/>
    <w:link w:val="a8"/>
    <w:uiPriority w:val="99"/>
    <w:semiHidden/>
    <w:unhideWhenUsed/>
    <w:rsid w:val="003D3F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3F3F"/>
    <w:rPr>
      <w:rFonts w:ascii="Tahoma" w:hAnsi="Tahoma" w:cs="Tahoma"/>
      <w:sz w:val="16"/>
      <w:szCs w:val="16"/>
    </w:rPr>
  </w:style>
  <w:style w:type="character" w:styleId="a9">
    <w:name w:val="Hyperlink"/>
    <w:basedOn w:val="a0"/>
    <w:uiPriority w:val="99"/>
    <w:unhideWhenUsed/>
    <w:rsid w:val="00E002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F3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3F3F"/>
  </w:style>
  <w:style w:type="paragraph" w:styleId="a5">
    <w:name w:val="footer"/>
    <w:basedOn w:val="a"/>
    <w:link w:val="a6"/>
    <w:uiPriority w:val="99"/>
    <w:unhideWhenUsed/>
    <w:rsid w:val="003D3F3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3F3F"/>
  </w:style>
  <w:style w:type="paragraph" w:styleId="a7">
    <w:name w:val="Balloon Text"/>
    <w:basedOn w:val="a"/>
    <w:link w:val="a8"/>
    <w:uiPriority w:val="99"/>
    <w:semiHidden/>
    <w:unhideWhenUsed/>
    <w:rsid w:val="003D3F3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D3F3F"/>
    <w:rPr>
      <w:rFonts w:ascii="Tahoma" w:hAnsi="Tahoma" w:cs="Tahoma"/>
      <w:sz w:val="16"/>
      <w:szCs w:val="16"/>
    </w:rPr>
  </w:style>
  <w:style w:type="character" w:styleId="a9">
    <w:name w:val="Hyperlink"/>
    <w:basedOn w:val="a0"/>
    <w:uiPriority w:val="99"/>
    <w:unhideWhenUsed/>
    <w:rsid w:val="00E00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arant-01.op.ru/" TargetMode="External"/><Relationship Id="rId13" Type="http://schemas.openxmlformats.org/officeDocument/2006/relationships/hyperlink" Target="http://garant-01.op.ru/"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arant-01.op.ru/" TargetMode="External"/><Relationship Id="rId17" Type="http://schemas.openxmlformats.org/officeDocument/2006/relationships/hyperlink" Target="http://garant-01.op.ru/" TargetMode="External"/><Relationship Id="rId2" Type="http://schemas.openxmlformats.org/officeDocument/2006/relationships/styles" Target="styles.xml"/><Relationship Id="rId16" Type="http://schemas.openxmlformats.org/officeDocument/2006/relationships/hyperlink" Target="http://garant-01.op.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rant-01.op.ru/" TargetMode="External"/><Relationship Id="rId5" Type="http://schemas.openxmlformats.org/officeDocument/2006/relationships/webSettings" Target="webSettings.xml"/><Relationship Id="rId15" Type="http://schemas.openxmlformats.org/officeDocument/2006/relationships/hyperlink" Target="http://garant-01.op.ru/" TargetMode="External"/><Relationship Id="rId10" Type="http://schemas.openxmlformats.org/officeDocument/2006/relationships/hyperlink" Target="http://garant-01.op.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arant-01.op.ru/" TargetMode="External"/><Relationship Id="rId14" Type="http://schemas.openxmlformats.org/officeDocument/2006/relationships/hyperlink" Target="http://garant-01.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8FB33-02F9-49E0-A9D3-71FADCA5C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13</Pages>
  <Words>3969</Words>
  <Characters>22625</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2019-12-02T12:48:00Z</cp:lastPrinted>
  <dcterms:created xsi:type="dcterms:W3CDTF">2019-09-03T06:00:00Z</dcterms:created>
  <dcterms:modified xsi:type="dcterms:W3CDTF">2019-12-02T14:55:00Z</dcterms:modified>
</cp:coreProperties>
</file>